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5E" w:rsidRP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«Б</w:t>
      </w:r>
      <w:r w:rsidRPr="00CA095E">
        <w:rPr>
          <w:rFonts w:ascii="Times New Roman" w:eastAsia="Arial" w:hAnsi="Times New Roman"/>
          <w:b/>
          <w:color w:val="000000"/>
          <w:spacing w:val="-4"/>
          <w:kern w:val="2"/>
          <w:sz w:val="28"/>
          <w:szCs w:val="28"/>
        </w:rPr>
        <w:t>анный комплекс</w:t>
      </w: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«Городские парильни»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fa"/>
              <w:rPr>
                <w:rFonts w:ascii="Times New Roman" w:eastAsia="Calibri" w:hAnsi="Times New Roman"/>
              </w:rPr>
            </w:pPr>
            <w:r w:rsidRPr="00CA095E">
              <w:rPr>
                <w:rFonts w:ascii="Times New Roman" w:eastAsia="Calibri" w:hAnsi="Times New Roman"/>
              </w:rPr>
              <w:t>Заместитель директора Департамента имущественных отношений Тюменской области</w:t>
            </w:r>
            <w:r w:rsidRPr="00CA095E">
              <w:rPr>
                <w:rFonts w:ascii="Times New Roman" w:eastAsia="Times New Roman" w:hAnsi="Times New Roman"/>
                <w:color w:val="000000"/>
                <w:lang w:eastAsia="ru-RU"/>
              </w:rPr>
              <w:t>, тел.: 8 (3452) 69 01 69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анный комплекс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«Городские парильни»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поддержи деятельности субъектов МСП путем реализации Федерального закона от 22.07.2008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159-ФЗ «Об особенностях отчуждения движимого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недвижимого имущества, находящегося в государственной или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далее – ФЗ № 159-ФЗ.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С 1993 года на территории города Тюмени функционирует банный комплекс «Городские парильни». Площадь объекта свыше 3-х тысяч квадратных метров. В 2016 году объект был закрыт по причине признания части комплекса аварийным. </w:t>
            </w:r>
          </w:p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В 2017 году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дминистрацией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города Тюмени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с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субъектом МСП заключен договор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аренды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 инвестиционными условиями в части восстановления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объект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 и последующим выкупом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в рассрочку, согласно пункту 6 статьи 5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 ФЗ № 159-ФЗ.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Через 5 лет аренды, заключен договор купли-продажи, при этом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br/>
              <w:t xml:space="preserve">в соответствии с пунктом 6 статьи 5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ФЗ №159-ФЗ,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стоимость неотделимых улучшений арендуемого имущества, осуществленных арендатором, была засчитана в счет оплаты приобретаемого арендуемого имущества.</w:t>
            </w:r>
          </w:p>
          <w:p w:rsidR="00CA095E" w:rsidRPr="00CA095E" w:rsidRDefault="00CA095E" w:rsidP="00280E5D">
            <w:pPr>
              <w:pStyle w:val="Default"/>
              <w:jc w:val="both"/>
              <w:rPr>
                <w:color w:val="auto"/>
              </w:rPr>
            </w:pPr>
            <w:r w:rsidRPr="00CA095E">
              <w:rPr>
                <w:rFonts w:ascii="Times New Roman" w:hAnsi="Times New Roman" w:cs="Times New Roman"/>
              </w:rPr>
              <w:t xml:space="preserve">Кроме того, согласно Закону Тюменской области от 28.09.2018 </w:t>
            </w:r>
            <w:r w:rsidRPr="00CA095E">
              <w:rPr>
                <w:rFonts w:ascii="Times New Roman" w:hAnsi="Times New Roman" w:cs="Times New Roman"/>
              </w:rPr>
              <w:br/>
              <w:t xml:space="preserve">№ 89 «Об установлении срока рассрочки оплаты, приобретаемого субъектами малого и среднего предпринимательства, арендуемого ими движимого и недвижимого имущества, находящегося </w:t>
            </w:r>
            <w:r w:rsidRPr="00CA095E">
              <w:rPr>
                <w:rFonts w:ascii="Times New Roman" w:hAnsi="Times New Roman" w:cs="Times New Roman"/>
              </w:rPr>
              <w:br/>
              <w:t>в государственной собственности Тюменской области, при реализации преимущественного права на приобретение такого имущества»</w:t>
            </w:r>
            <w:r w:rsidRPr="00CA095E">
              <w:rPr>
                <w:rFonts w:ascii="Times New Roman" w:hAnsi="Times New Roman" w:cs="Times New Roman"/>
                <w:color w:val="FFFFFF"/>
              </w:rPr>
              <w:t xml:space="preserve"> </w:t>
            </w:r>
            <w:r w:rsidRPr="00CA095E">
              <w:rPr>
                <w:rFonts w:ascii="Times New Roman" w:hAnsi="Times New Roman" w:cs="Times New Roman"/>
                <w:color w:val="auto"/>
              </w:rPr>
              <w:t xml:space="preserve">срок рассрочки оплаты недвижимого имущества субъектом МСП установлен до 8 лет, что 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>позволяет субъектам МСП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 xml:space="preserve"> вносить оплату равными платежами под процент </w:t>
            </w:r>
            <w:r w:rsidRPr="00CA095E">
              <w:rPr>
                <w:rFonts w:ascii="Times New Roman" w:eastAsia="SimSun" w:hAnsi="Times New Roman" w:cs="Times New Roman"/>
                <w:iCs/>
                <w:color w:val="auto"/>
                <w:spacing w:val="-4"/>
                <w:lang w:eastAsia="zh-CN" w:bidi="hi-IN"/>
              </w:rPr>
              <w:t>равный 1/3 ставки рефинансирования ЦБ РФ, а главное</w:t>
            </w:r>
            <w:r w:rsidRPr="00CA095E">
              <w:rPr>
                <w:rFonts w:ascii="Times New Roman" w:eastAsia="SimSun" w:hAnsi="Times New Roman" w:cs="Times New Roman"/>
                <w:i/>
                <w:iCs/>
                <w:color w:val="auto"/>
                <w:spacing w:val="-4"/>
                <w:lang w:eastAsia="zh-CN" w:bidi="hi-IN"/>
              </w:rPr>
              <w:t xml:space="preserve"> 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 xml:space="preserve">направлять денежные средства на 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>восстановление объекта.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1. Инвесторы получили объект для развития и получения прибыли;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2. Горожане и туристы получили новую точку притяжения, сопоставимую со знаменитыми сандунами;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3. Муниципальное образование с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низило расходы местного бюджета на содержание и восстановление неликвидного объекта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.</w:t>
            </w:r>
          </w:p>
        </w:tc>
      </w:tr>
    </w:tbl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P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CA095E"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  <w:lastRenderedPageBreak/>
        <w:t>Проект «Стиль 48»</w:t>
      </w:r>
    </w:p>
    <w:p w:rsid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214A5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Проект «Стиль 48»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Вовлечение коммерческой недвижимости в имущественную поддержку для самозанятых граждан и субъектов МСП Липецкой области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масштабного фестиваля креативных индустрий 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 Липецкой области в 2023 году проведен форум легкой промышленности «СТИЛЬ 48», в котором приняли участие дизайнеры - производители, модельеры и гости Липецкой области.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форума совместно с центром «Мой бизнес» реализован уникальный проект – ярмарка - выставка региональных производителей в формате бутика «Стиль 48» в ТЦ, где были представлены детская и взрослая одежда, аксессуары, сувенирная продукция, домашний текстиль, плетеные изделия, игрушки, флорариумы, текстильные коллекционные куклы.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одном пространстве на площади в 180 кв. м разместились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28 региональных брендов, а также 21 самозанятый гражданин.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проекта на льготных условиях на протяжении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-х месяцев представляли свою продукцию в самом крупном областном ТЦ.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Владелец ТЦ предоставил скидку для реализации важного для региона проекта: о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 xml:space="preserve">плата для производителей составляла не более 20 % об общей стоимости аренды., предоставление оборудования на безвозмездной основе.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выручки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коллаборация производителей области;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каналов сбыта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производимой продукции самозанятыми гражданами и субъектами МСП;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жителей области с продукцией местных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обучающей программы по навыкам продаж в ТРЦ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виде тренингов).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СПС(Т)К «Живое село»</w:t>
      </w: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Проект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СПС(Т)К «Живое село»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Раскрытие туристического потенциала отдаленных от областного и районных центров территорий путем оказания имущественной поддержки субъектам МСП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село Преображеновка Липецкой области - место создания туристического комплекса «Живое село».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году Дубровским районом Липецкой области оказана имущественная поддержка инвестору в виде предоставления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аренду земельного участка из перечня муниципального имущества для предоставления субъектам МСП общей площадью 63265 кв.м сроком на 49 лет и установления льгот по оплате арендной: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в 1-й год аренды – 40 %, во 2-й год аренды - 60 %, в 3-й год аренды - 80 %, в 4-й год аренды и далее - 100 % размера арендной платы.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вложенных инвестиций составляет 30 млн руб.,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т.ч. 15 млн руб. – за счет средств регионального гранта «Инвестиционный».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За 2 года реализации проекта при региональной и муниципальной поддержке территория из абсолютно неблагоустроенной превратилось в точку притяжения туристов.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1) создан потенциал расширения сферы занятости сельского населения и новые рабочие места;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сохранение и возрождение культурного наследия (традиций, обрядов, ремесел, памятников природы, истории, религии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культуры.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95E" w:rsidRP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Коробочные решения Саратовской области.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АО «Корпорация развития Саратовской области», </w:t>
            </w:r>
          </w:p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CA095E">
              <w:rPr>
                <w:rFonts w:ascii="Times New Roman" w:eastAsia="PT Astra Serif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79-69-96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Коробочные решения Саратовской области.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бизнеса на свободные инвестиционные площадки региона путем оказания имущественной поддержки субъектам МСП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«Коробочное решение» – это готовый разработанный бизнес-кейс с привязкой к земельному участку, целевым направлением развития данной площадки, отражением информации по инженерной и транспортной инфраструктуре, достопримечательностям, мерам поддержки. 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На территории Саратовской области были реализованы следующие коробочные решения: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- в Марксовском муниципальном районе, которое включает оформление земельного участка, включенного в перечень имущества для предоставления субъектам МСП, в целях создания и развития базы отдыха (глэмпингов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кемпингов);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в Воскресенском муниципальном районе которое включает оформление земельного участка, включенного в перечень имущества для предоставления субъектам МСП, площадью 42,5 га.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Коробочные решения для инвестора включают федеральные и региональные меры, которые позволяют инвесторам эффективно выстраивать график реализации проекта и являются важным фактором при принятии решения о развитии бизнеса в регионе, к ним относятся: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предоставление земельных участков без торгов;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льготная ставка арендной платы за земельные участки в размере от 1% до 5% от кадастровой стоимости земельного участка;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снижение ставки налога на имущество с 2,2 до 0,1% на 5 лет при строительстве капитальных объектов;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пониженными налоговыми ставками при выборе упрощенной системы налогообложения;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льготным кредитованием по линии Фонда Микрокредитования Саратовской области</w:t>
            </w:r>
            <w:r w:rsidRPr="00CA09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1.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земельных участков, расположенных на территории региона, имеющих туристический потенциал и пригодных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для размещения туристических объектов;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2.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инвесторов при вхождении в регион, привлечение и поддержка внешних и внутренних инвесторов для реализации их проектов.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816" w:rsidRDefault="00445EA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Создание областного проекта «Объекты реновации»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 w:rsidTr="00445EA9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проекта «Объекты реновации» 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тел.: 8 (3452) 69 01 69;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пециалист по вопросам аренды и ГЧП 8 (3452) 69 01 79 (2820);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продажи 8 (3452) 69 01 78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областного проекта «Объекты реновации»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содержание объектов, находящихся в неудовлетворительном состоянии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Правительством Тюменской области создан областной проект «Объекты реновации», в который вошло 64 объекта недвижимости или 14 имущественных комплексов, предлагаемых инвесторам, в том числе субъектам МСП, на особых условиях.</w:t>
            </w:r>
          </w:p>
          <w:p w:rsidR="00060816" w:rsidRDefault="00445EA9">
            <w:pPr>
              <w:pStyle w:val="Standard"/>
              <w:jc w:val="both"/>
            </w:pPr>
            <w:r>
              <w:t>В рамках указанного проекта были сформированы:</w:t>
            </w:r>
          </w:p>
          <w:p w:rsidR="00060816" w:rsidRDefault="00445EA9">
            <w:pPr>
              <w:pStyle w:val="Standard"/>
              <w:jc w:val="both"/>
            </w:pPr>
            <w:r>
              <w:t>1) проектный комитет, к работе которого были привлечены специалисты как из имущественной и строительной сферы, так и из сферы развития и поддержки МСП и самого предпринимательского сообщества;</w:t>
            </w:r>
          </w:p>
          <w:p w:rsidR="00060816" w:rsidRDefault="00445EA9">
            <w:pPr>
              <w:pStyle w:val="Standard"/>
              <w:jc w:val="both"/>
            </w:pPr>
            <w:r>
              <w:t xml:space="preserve">2) отдельный портал, содержащий полную информацию об объектах реновации </w:t>
            </w:r>
            <w:hyperlink r:id="rId7" w:tooltip="http://renovation.72to.ru/" w:history="1">
              <w:r>
                <w:t>renovation.72to.ru</w:t>
              </w:r>
            </w:hyperlink>
            <w:r>
              <w:t>;</w:t>
            </w:r>
          </w:p>
          <w:p w:rsidR="00060816" w:rsidRDefault="00445EA9">
            <w:pPr>
              <w:pStyle w:val="Standard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3) условия аренды, предусматривающие проведение арендатором работ по восстановлению объекта и арендную плату после завершения работ в размере 1 руб. за 1 кв. м площади объекта в год до конца срока действия договора, срок которого может достигать 49 лет. Дополнительно не исключается возможность таких вариантов сотрудничества, как покупка или ГЧП для реализации отдельных видов деятельности;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4) ориентировочный размер сделки по аренде и продаже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5) варианты бизнес-идей по использованию каждого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6) система обратной связи для получения консультации или организации выезда на объект, а также произведена фото и видео фиксация объектов, определены условия подключения объектов к сетям инженерно-технического обеспечения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инвесторы, в том числе субъекты МСП, дают новую жизнь «старым» объектам и территориям, получив их на особых льготных условиях;</w:t>
            </w:r>
          </w:p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увеличивается количество необходимой для ведения бизнеса недвижимости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Передача в аренду на льготных условиях субъектам МСП объектов, требующих проведение капитального ремонта</w:t>
      </w:r>
    </w:p>
    <w:p w:rsidR="00445EA9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Тюмень (Тюменская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эксплуатации и реконструкции муниципального имущества Департамента имущественных отношений города Тюмени, тел.: 8 (3452) 51 36 41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c>
          <w:tcPr>
            <w:tcW w:w="421" w:type="dxa"/>
          </w:tcPr>
          <w:p w:rsidR="00060816" w:rsidRDefault="00445EA9" w:rsidP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аренду на льготных условиях субъектам МСП объектов, требующих проведение капитального ремонта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объектов, требующих проведение капитального ремонта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bCs/>
              </w:rPr>
              <w:t xml:space="preserve">При проведении </w:t>
            </w:r>
            <w:r>
              <w:rPr>
                <w:rFonts w:cs="Times New Roman"/>
                <w:bCs/>
                <w:color w:val="000000"/>
              </w:rPr>
              <w:t>капитального ремонта</w:t>
            </w:r>
            <w:r>
              <w:rPr>
                <w:rFonts w:cs="Times New Roman"/>
              </w:rPr>
              <w:t xml:space="preserve"> предусмотрено поэтапное</w:t>
            </w:r>
            <w:r>
              <w:rPr>
                <w:bCs/>
              </w:rPr>
              <w:t xml:space="preserve"> взаимодействие муниципального образования и субъектов МСП</w:t>
            </w:r>
            <w:r>
              <w:rPr>
                <w:rFonts w:cs="Times New Roman"/>
                <w:bCs/>
                <w:color w:val="000000"/>
              </w:rPr>
              <w:t>: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этап. Составление арендодателем дефектной ведомости на проведение капитального ремонта, заключение договора аренды по результатам торгов и формирование сметы на указанные работы.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этап. Выполнение арендатором работ по капитальному ремонту.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этап. Принятие арендодателем выполненных работ, проверка подтверждающих документов, и выдача заключения об их стоимости.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течение всего срока договорных отношений устанавливаются следующие условия аренды объекта недвижимости: на период проведения работ – отсрочка от внесения арендной платы не более 6 месяцев, по итогам их завершения – освобождение от внесения арендной платы соразмерно понесенным затратам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имуществом;</w:t>
            </w:r>
          </w:p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спроса предпринимателей в предоставлении имущества, требующего капитального ремонта 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Череповец (Вологодская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З</w:t>
            </w:r>
            <w:r w:rsidR="00445EA9">
              <w:rPr>
                <w:rFonts w:eastAsiaTheme="minorHAnsi"/>
                <w:b w:val="0"/>
                <w:bCs w:val="0"/>
                <w:lang w:eastAsia="en-US"/>
              </w:rPr>
              <w:t xml:space="preserve">аместитель председателя комитета по управлению имуществом города Череповца, начальник отдела муниципальной собственности и ведения реестра,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тел.: 8 (951) 734 85 95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неиспользуемого, неэффективно используемого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имущества проводится в отношении отдельных групп имущества на ежегодной основе с использованием программного модуля АИС «Земельно-имущественный комплекс».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программном модуле на основании разработанных форм осуществляется сбор информации в отношении имущества казны, муниципальных учреждений и предприятий, и ее анализ по критериям эффективности (коммерческая, бюджетная, социальная), включающим в себя показатели эффективности, определяющиеся в соответствии с установленным нормативным значением (процент или среднее арифметическое).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проведенных мероприятий куратор формирует перечень объектов, имеющих отклонения от нормативного значения показателя, в отношении которых проводятся проверки и в последующем готовятся рекомендации по их дальнейшему использованию.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работа также позволила выявить имущество, пригодное для предоставления субъектам МСП, в том числе земельные участки, государственная собственность на которые не разграничена, и включить их перечень муниципального имущества</w:t>
            </w:r>
          </w:p>
          <w:p w:rsidR="00060816" w:rsidRDefault="000608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неиспользуемого, неэффективно используемого имущества;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затрат на содержание объектов, находящихся в муниципальной собственности;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социальной эффективности деятельности муниципальных предприятий, учреждений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Внедрение единой информационной системы по учету и ведению реестров государственного, муниципального имущества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</w:pPr>
            <w:r>
              <w:rPr>
                <w:b w:val="0"/>
                <w:bCs w:val="0"/>
                <w:color w:val="000000"/>
                <w:lang w:eastAsia="en-US"/>
              </w:rPr>
              <w:t>Руцкая Ольга Валентиновна, начальник отдела учёта государственной собственности Минимущества Республики Коми, тел.: 8 (8212) 30 16 55 (1035)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единой информационной системы по учету и ведению реестров государственного, муниципального имущества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государственным и муниципальным имуществом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Республики Коми в 2014 году введена в эксплуатацию автоматизированная система «Учет и управление объектами государственной собственности Республики Коми и муниципальной собственности» (далее – АСУС). Доступ к АСУС предоставлен органам исполнительной власти и органам местного самоуправления региона, а также балансодержателям имущества. Основные функции АСУС: ведение реестров имущества, учет правоотношений и правоустанавливающих документов, администрирование неналоговых доходов от использования, работа с геоданными объектов учета. На основании ежеквартальной выгрузки из АСУС формируются наборы данных с информацией об объектах государственной и муниципальной собственности (недвижимое имущество, земельные участки, движимое имущество, акции, доли в уставном капитале), которые размещаются в сети «Интернет» на портале открытых данных Республики </w:t>
            </w:r>
            <w:r>
              <w:rPr>
                <w:rFonts w:eastAsia="Times New Roman" w:cs="Times New Roman"/>
              </w:rPr>
              <w:t>Коми (</w:t>
            </w:r>
            <w:hyperlink r:id="rId8" w:tooltip="http://opendata.rkomi.ru" w:history="1">
              <w:r>
                <w:rPr>
                  <w:rStyle w:val="af9"/>
                  <w:rFonts w:eastAsia="Times New Roman" w:cs="Times New Roman"/>
                  <w:lang w:val="en-US"/>
                </w:rPr>
                <w:t>http</w:t>
              </w:r>
              <w:r>
                <w:rPr>
                  <w:rStyle w:val="af9"/>
                  <w:rFonts w:eastAsia="Times New Roman" w:cs="Times New Roman"/>
                </w:rPr>
                <w:t>://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opendata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rkomi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ru</w:t>
              </w:r>
            </w:hyperlink>
            <w:r>
              <w:rPr>
                <w:rFonts w:eastAsia="Times New Roman" w:cs="Times New Roman"/>
              </w:rPr>
              <w:t>).</w:t>
            </w:r>
          </w:p>
          <w:p w:rsidR="00060816" w:rsidRDefault="00060816">
            <w:pPr>
              <w:pStyle w:val="Standard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34" w:hanging="34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межведомственное электронное взаимодействие;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актуальная база данных, отсутствие неучтенных объектов;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доступность и открытость информации о государственном и муниципальном имуществе;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выявление неиспользуемого имущества, принятие решений по распоряжению таким имуществом;</w:t>
            </w:r>
          </w:p>
          <w:p w:rsidR="00060816" w:rsidRPr="0041052F" w:rsidRDefault="00445EA9" w:rsidP="0041052F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контроль эффективности деятельности государственных и муниципальных предприятий и учреждений.</w:t>
            </w:r>
            <w:bookmarkStart w:id="0" w:name="_GoBack"/>
            <w:bookmarkEnd w:id="0"/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работы межведомственной рабочей группы по оказанию имущественной поддержки субъектам МСП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 xml:space="preserve">ачальник отдела по распоряжению госимуществом Министерства природных ресурсов, экологии и имущественных отношений Оренбургской области,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тел.: 8 (3532) 98 79 42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межведомственной рабочей группы по оказанию имущественной поддержки субъектам МСП</w:t>
            </w:r>
          </w:p>
          <w:p w:rsidR="00060816" w:rsidRDefault="0006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государственной власти субъекта Российской Федерации с органами местного самоуправления, территориальным органом Росмущества по вопросам оказания имущественной поддержки субъектам МСП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Оренбургской области рабочая группа по имущественной поддержке субъектов МСП создана в регионе и 29 муниципальных районах, основными задачами которых является расширение оказания имущественной поддержки субъектам МСП и реализация задач национального, федерального проектов. 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Рабочей группой проводится: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1) анализ принятых муниципальными образованиями НПА по вопросам оказания имущественной поддержки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2) выявление неэффективно используемых объектов для передачи в аренду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3) выработка предложений по расширению доступа субъектов МСП к информации об объектах государственного и муниципального имущества;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4) оценка работы органов местного самоуправления по вопросам оказания имущественной поддержки субъектам МСП.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регулярной основе муниципальными рабочими группами проводится анализ объектов казны, земельных участков и объектов, закрепленных за муниципальными учреждениями и предприятиями. Каждому объекту дается характеристика по его назначению, состоянию и дельнейшему использованию. По результатам проведенных мероприятий в имущество включается в перечни имущества. </w:t>
            </w:r>
          </w:p>
          <w:p w:rsidR="00060816" w:rsidRPr="0041052F" w:rsidRDefault="00445EA9" w:rsidP="0041052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Все протокольные решения межведомственной рабочей группы региона находятся на контроле в министерстве, проводится мониторинг их исполнения.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оказания имущественной поддержки субъектам МСП, улучшение ее условий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 предоставления государственного имущества субъектам малого и среднего предпринимательства и самозанятым гражданам </w:t>
      </w:r>
      <w:r>
        <w:rPr>
          <w:rFonts w:ascii="Times New Roman" w:hAnsi="Times New Roman"/>
          <w:b/>
          <w:sz w:val="28"/>
          <w:szCs w:val="28"/>
        </w:rPr>
        <w:br/>
        <w:t>в порядке преференции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>ачальник отдела по управлению государственным имуществом Комитета Республики Коми имущественных и земельных отношений, тел (8212)301-655 (доб. 1028), o.l.kolegova@amp.rkomi.ru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Практика предоставления государственного имущества субъектам малого и среднего предпринимательства и самозанятым гражданам в порядке преференции</w:t>
            </w:r>
            <w:r>
              <w:t xml:space="preserve">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 xml:space="preserve">Сокращение сроков и упрощение процедуры предоставления государственного имущества субъектам малого и среднего предпринимательства и самозанятым гражданам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Передача субъектам МСП и самозанятым гражданам в аренду недвижимого государственного имущества, включенного в перечень для субъектов МСП осуществляется: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1) без проведения процедуры торгов и без согласования антимонопольного органа – является государственной преференцией, установленной в государственной программе Республики Коми «Развитие экономики» (Постановление Правительства Республики Коми от 31 октября 2019 года № 521);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2) при определении годовой арендной платы за пользование государственным имуществом Республики Коми не проводится оценка рыночной стоимости (Постановление Правительства Республики Коми от 06 декабря 2002 г. № 200):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размер арендной платы определяется расчётным способом с учётом специфики деятельности субъектов МСП и характеристик объекта (имущества);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начинающим субъектам малого предпринимательства установлена фиксированная льготная ставка арендной платы в размере 829 рублей за один квадратный метр в год в течение трех лет с даты их государственной регистрации;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для субъектов МСП, являющихся сельскохозяйственными товаропроизводителями либо сельскохозяйственными кооперативами установлена арендная плата в размере 554 рубля за один квадратный метр в год;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– субъекты МСП, занимающиеся социально значимыми видами деятельности, освобождаются от арендной платы за первый месяц использования арендуемого имущества.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Сокращение сроков предоставления государственного имущества в аренду до 20 рабочих дней с даты обращения предпринимателя, унификация и упрощение процедуры предоставления, экономия бюджетных средств на проведение процедуры оценки рыночной стоимости аренды объекта. </w:t>
            </w:r>
          </w:p>
        </w:tc>
      </w:tr>
    </w:tbl>
    <w:p w:rsidR="00060816" w:rsidRDefault="00060816"/>
    <w:sectPr w:rsidR="0006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16" w:rsidRDefault="00445EA9">
      <w:pPr>
        <w:spacing w:after="0" w:line="240" w:lineRule="auto"/>
      </w:pPr>
      <w:r>
        <w:separator/>
      </w:r>
    </w:p>
  </w:endnote>
  <w:endnote w:type="continuationSeparator" w:id="0">
    <w:p w:rsidR="00060816" w:rsidRDefault="0044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16" w:rsidRDefault="00445EA9">
      <w:pPr>
        <w:spacing w:after="0" w:line="240" w:lineRule="auto"/>
      </w:pPr>
      <w:r>
        <w:separator/>
      </w:r>
    </w:p>
  </w:footnote>
  <w:footnote w:type="continuationSeparator" w:id="0">
    <w:p w:rsidR="00060816" w:rsidRDefault="0044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E4C"/>
    <w:multiLevelType w:val="hybridMultilevel"/>
    <w:tmpl w:val="C6EA8C16"/>
    <w:lvl w:ilvl="0" w:tplc="C638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0F16A">
      <w:start w:val="1"/>
      <w:numFmt w:val="lowerLetter"/>
      <w:lvlText w:val="%2."/>
      <w:lvlJc w:val="left"/>
      <w:pPr>
        <w:ind w:left="1440" w:hanging="360"/>
      </w:pPr>
    </w:lvl>
    <w:lvl w:ilvl="2" w:tplc="339C79A2">
      <w:start w:val="1"/>
      <w:numFmt w:val="lowerRoman"/>
      <w:lvlText w:val="%3."/>
      <w:lvlJc w:val="right"/>
      <w:pPr>
        <w:ind w:left="2160" w:hanging="180"/>
      </w:pPr>
    </w:lvl>
    <w:lvl w:ilvl="3" w:tplc="B39ABB26">
      <w:start w:val="1"/>
      <w:numFmt w:val="decimal"/>
      <w:lvlText w:val="%4."/>
      <w:lvlJc w:val="left"/>
      <w:pPr>
        <w:ind w:left="2880" w:hanging="360"/>
      </w:pPr>
    </w:lvl>
    <w:lvl w:ilvl="4" w:tplc="153ABF4A">
      <w:start w:val="1"/>
      <w:numFmt w:val="lowerLetter"/>
      <w:lvlText w:val="%5."/>
      <w:lvlJc w:val="left"/>
      <w:pPr>
        <w:ind w:left="3600" w:hanging="360"/>
      </w:pPr>
    </w:lvl>
    <w:lvl w:ilvl="5" w:tplc="FB6A95C8">
      <w:start w:val="1"/>
      <w:numFmt w:val="lowerRoman"/>
      <w:lvlText w:val="%6."/>
      <w:lvlJc w:val="right"/>
      <w:pPr>
        <w:ind w:left="4320" w:hanging="180"/>
      </w:pPr>
    </w:lvl>
    <w:lvl w:ilvl="6" w:tplc="9C0C1518">
      <w:start w:val="1"/>
      <w:numFmt w:val="decimal"/>
      <w:lvlText w:val="%7."/>
      <w:lvlJc w:val="left"/>
      <w:pPr>
        <w:ind w:left="5040" w:hanging="360"/>
      </w:pPr>
    </w:lvl>
    <w:lvl w:ilvl="7" w:tplc="7FEAA1C0">
      <w:start w:val="1"/>
      <w:numFmt w:val="lowerLetter"/>
      <w:lvlText w:val="%8."/>
      <w:lvlJc w:val="left"/>
      <w:pPr>
        <w:ind w:left="5760" w:hanging="360"/>
      </w:pPr>
    </w:lvl>
    <w:lvl w:ilvl="8" w:tplc="B70CE1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82B"/>
    <w:multiLevelType w:val="hybridMultilevel"/>
    <w:tmpl w:val="2BF4A7C2"/>
    <w:lvl w:ilvl="0" w:tplc="9022D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E43"/>
    <w:multiLevelType w:val="multilevel"/>
    <w:tmpl w:val="47EA6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3FC"/>
    <w:multiLevelType w:val="hybridMultilevel"/>
    <w:tmpl w:val="D5FE2EA8"/>
    <w:lvl w:ilvl="0" w:tplc="16EC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C9B"/>
    <w:multiLevelType w:val="hybridMultilevel"/>
    <w:tmpl w:val="DCAAE9F4"/>
    <w:lvl w:ilvl="0" w:tplc="2A56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02E5"/>
    <w:multiLevelType w:val="hybridMultilevel"/>
    <w:tmpl w:val="724EACF0"/>
    <w:lvl w:ilvl="0" w:tplc="FEB8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FEC0D0">
      <w:start w:val="1"/>
      <w:numFmt w:val="lowerLetter"/>
      <w:lvlText w:val="%2."/>
      <w:lvlJc w:val="left"/>
      <w:pPr>
        <w:ind w:left="1789" w:hanging="360"/>
      </w:pPr>
    </w:lvl>
    <w:lvl w:ilvl="2" w:tplc="8AD81FB6">
      <w:start w:val="1"/>
      <w:numFmt w:val="lowerRoman"/>
      <w:lvlText w:val="%3."/>
      <w:lvlJc w:val="right"/>
      <w:pPr>
        <w:ind w:left="2509" w:hanging="180"/>
      </w:pPr>
    </w:lvl>
    <w:lvl w:ilvl="3" w:tplc="0600AD06">
      <w:start w:val="1"/>
      <w:numFmt w:val="decimal"/>
      <w:lvlText w:val="%4."/>
      <w:lvlJc w:val="left"/>
      <w:pPr>
        <w:ind w:left="3229" w:hanging="360"/>
      </w:pPr>
    </w:lvl>
    <w:lvl w:ilvl="4" w:tplc="3E884F5A">
      <w:start w:val="1"/>
      <w:numFmt w:val="lowerLetter"/>
      <w:lvlText w:val="%5."/>
      <w:lvlJc w:val="left"/>
      <w:pPr>
        <w:ind w:left="3949" w:hanging="360"/>
      </w:pPr>
    </w:lvl>
    <w:lvl w:ilvl="5" w:tplc="AACA7400">
      <w:start w:val="1"/>
      <w:numFmt w:val="lowerRoman"/>
      <w:lvlText w:val="%6."/>
      <w:lvlJc w:val="right"/>
      <w:pPr>
        <w:ind w:left="4669" w:hanging="180"/>
      </w:pPr>
    </w:lvl>
    <w:lvl w:ilvl="6" w:tplc="B9BE67C4">
      <w:start w:val="1"/>
      <w:numFmt w:val="decimal"/>
      <w:lvlText w:val="%7."/>
      <w:lvlJc w:val="left"/>
      <w:pPr>
        <w:ind w:left="5389" w:hanging="360"/>
      </w:pPr>
    </w:lvl>
    <w:lvl w:ilvl="7" w:tplc="44B8CDB4">
      <w:start w:val="1"/>
      <w:numFmt w:val="lowerLetter"/>
      <w:lvlText w:val="%8."/>
      <w:lvlJc w:val="left"/>
      <w:pPr>
        <w:ind w:left="6109" w:hanging="360"/>
      </w:pPr>
    </w:lvl>
    <w:lvl w:ilvl="8" w:tplc="EC029D3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A54B6"/>
    <w:multiLevelType w:val="hybridMultilevel"/>
    <w:tmpl w:val="3AFAF6A6"/>
    <w:lvl w:ilvl="0" w:tplc="C78A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AD51E">
      <w:start w:val="1"/>
      <w:numFmt w:val="lowerLetter"/>
      <w:lvlText w:val="%2."/>
      <w:lvlJc w:val="left"/>
      <w:pPr>
        <w:ind w:left="1440" w:hanging="360"/>
      </w:pPr>
    </w:lvl>
    <w:lvl w:ilvl="2" w:tplc="707A921A">
      <w:start w:val="1"/>
      <w:numFmt w:val="lowerRoman"/>
      <w:lvlText w:val="%3."/>
      <w:lvlJc w:val="right"/>
      <w:pPr>
        <w:ind w:left="2160" w:hanging="180"/>
      </w:pPr>
    </w:lvl>
    <w:lvl w:ilvl="3" w:tplc="71C65C42">
      <w:start w:val="1"/>
      <w:numFmt w:val="decimal"/>
      <w:lvlText w:val="%4."/>
      <w:lvlJc w:val="left"/>
      <w:pPr>
        <w:ind w:left="2880" w:hanging="360"/>
      </w:pPr>
    </w:lvl>
    <w:lvl w:ilvl="4" w:tplc="BF2EEC1A">
      <w:start w:val="1"/>
      <w:numFmt w:val="lowerLetter"/>
      <w:lvlText w:val="%5."/>
      <w:lvlJc w:val="left"/>
      <w:pPr>
        <w:ind w:left="3600" w:hanging="360"/>
      </w:pPr>
    </w:lvl>
    <w:lvl w:ilvl="5" w:tplc="5A80534A">
      <w:start w:val="1"/>
      <w:numFmt w:val="lowerRoman"/>
      <w:lvlText w:val="%6."/>
      <w:lvlJc w:val="right"/>
      <w:pPr>
        <w:ind w:left="4320" w:hanging="180"/>
      </w:pPr>
    </w:lvl>
    <w:lvl w:ilvl="6" w:tplc="ACBAF5C2">
      <w:start w:val="1"/>
      <w:numFmt w:val="decimal"/>
      <w:lvlText w:val="%7."/>
      <w:lvlJc w:val="left"/>
      <w:pPr>
        <w:ind w:left="5040" w:hanging="360"/>
      </w:pPr>
    </w:lvl>
    <w:lvl w:ilvl="7" w:tplc="C2F6F958">
      <w:start w:val="1"/>
      <w:numFmt w:val="lowerLetter"/>
      <w:lvlText w:val="%8."/>
      <w:lvlJc w:val="left"/>
      <w:pPr>
        <w:ind w:left="5760" w:hanging="360"/>
      </w:pPr>
    </w:lvl>
    <w:lvl w:ilvl="8" w:tplc="3CA4D8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CB1"/>
    <w:multiLevelType w:val="multilevel"/>
    <w:tmpl w:val="14EC1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94002"/>
    <w:multiLevelType w:val="hybridMultilevel"/>
    <w:tmpl w:val="168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2377C"/>
    <w:multiLevelType w:val="hybridMultilevel"/>
    <w:tmpl w:val="8724EB5E"/>
    <w:lvl w:ilvl="0" w:tplc="2D56B7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C42075CA">
      <w:start w:val="1"/>
      <w:numFmt w:val="lowerLetter"/>
      <w:lvlText w:val="%2."/>
      <w:lvlJc w:val="left"/>
      <w:pPr>
        <w:ind w:left="1440" w:hanging="360"/>
      </w:pPr>
    </w:lvl>
    <w:lvl w:ilvl="2" w:tplc="36DC2354">
      <w:start w:val="1"/>
      <w:numFmt w:val="lowerRoman"/>
      <w:lvlText w:val="%3."/>
      <w:lvlJc w:val="right"/>
      <w:pPr>
        <w:ind w:left="2160" w:hanging="180"/>
      </w:pPr>
    </w:lvl>
    <w:lvl w:ilvl="3" w:tplc="B478F6D4">
      <w:start w:val="1"/>
      <w:numFmt w:val="decimal"/>
      <w:lvlText w:val="%4."/>
      <w:lvlJc w:val="left"/>
      <w:pPr>
        <w:ind w:left="2880" w:hanging="360"/>
      </w:pPr>
    </w:lvl>
    <w:lvl w:ilvl="4" w:tplc="B1A6A26C">
      <w:start w:val="1"/>
      <w:numFmt w:val="lowerLetter"/>
      <w:lvlText w:val="%5."/>
      <w:lvlJc w:val="left"/>
      <w:pPr>
        <w:ind w:left="3600" w:hanging="360"/>
      </w:pPr>
    </w:lvl>
    <w:lvl w:ilvl="5" w:tplc="A6466E62">
      <w:start w:val="1"/>
      <w:numFmt w:val="lowerRoman"/>
      <w:lvlText w:val="%6."/>
      <w:lvlJc w:val="right"/>
      <w:pPr>
        <w:ind w:left="4320" w:hanging="180"/>
      </w:pPr>
    </w:lvl>
    <w:lvl w:ilvl="6" w:tplc="2E2A47DC">
      <w:start w:val="1"/>
      <w:numFmt w:val="decimal"/>
      <w:lvlText w:val="%7."/>
      <w:lvlJc w:val="left"/>
      <w:pPr>
        <w:ind w:left="5040" w:hanging="360"/>
      </w:pPr>
    </w:lvl>
    <w:lvl w:ilvl="7" w:tplc="317E0E56">
      <w:start w:val="1"/>
      <w:numFmt w:val="lowerLetter"/>
      <w:lvlText w:val="%8."/>
      <w:lvlJc w:val="left"/>
      <w:pPr>
        <w:ind w:left="5760" w:hanging="360"/>
      </w:pPr>
    </w:lvl>
    <w:lvl w:ilvl="8" w:tplc="4734EF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B35"/>
    <w:multiLevelType w:val="hybridMultilevel"/>
    <w:tmpl w:val="49A84084"/>
    <w:lvl w:ilvl="0" w:tplc="8496D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B524486">
      <w:start w:val="1"/>
      <w:numFmt w:val="lowerLetter"/>
      <w:lvlText w:val="%2."/>
      <w:lvlJc w:val="left"/>
      <w:pPr>
        <w:ind w:left="1789" w:hanging="360"/>
      </w:pPr>
    </w:lvl>
    <w:lvl w:ilvl="2" w:tplc="293413CC">
      <w:start w:val="1"/>
      <w:numFmt w:val="lowerRoman"/>
      <w:lvlText w:val="%3."/>
      <w:lvlJc w:val="right"/>
      <w:pPr>
        <w:ind w:left="2509" w:hanging="180"/>
      </w:pPr>
    </w:lvl>
    <w:lvl w:ilvl="3" w:tplc="C67065FA">
      <w:start w:val="1"/>
      <w:numFmt w:val="decimal"/>
      <w:lvlText w:val="%4."/>
      <w:lvlJc w:val="left"/>
      <w:pPr>
        <w:ind w:left="3229" w:hanging="360"/>
      </w:pPr>
    </w:lvl>
    <w:lvl w:ilvl="4" w:tplc="B46C04FE">
      <w:start w:val="1"/>
      <w:numFmt w:val="lowerLetter"/>
      <w:lvlText w:val="%5."/>
      <w:lvlJc w:val="left"/>
      <w:pPr>
        <w:ind w:left="3949" w:hanging="360"/>
      </w:pPr>
    </w:lvl>
    <w:lvl w:ilvl="5" w:tplc="DB062C04">
      <w:start w:val="1"/>
      <w:numFmt w:val="lowerRoman"/>
      <w:lvlText w:val="%6."/>
      <w:lvlJc w:val="right"/>
      <w:pPr>
        <w:ind w:left="4669" w:hanging="180"/>
      </w:pPr>
    </w:lvl>
    <w:lvl w:ilvl="6" w:tplc="112C1C84">
      <w:start w:val="1"/>
      <w:numFmt w:val="decimal"/>
      <w:lvlText w:val="%7."/>
      <w:lvlJc w:val="left"/>
      <w:pPr>
        <w:ind w:left="5389" w:hanging="360"/>
      </w:pPr>
    </w:lvl>
    <w:lvl w:ilvl="7" w:tplc="78087038">
      <w:start w:val="1"/>
      <w:numFmt w:val="lowerLetter"/>
      <w:lvlText w:val="%8."/>
      <w:lvlJc w:val="left"/>
      <w:pPr>
        <w:ind w:left="6109" w:hanging="360"/>
      </w:pPr>
    </w:lvl>
    <w:lvl w:ilvl="8" w:tplc="A6A45A7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000AA"/>
    <w:multiLevelType w:val="hybridMultilevel"/>
    <w:tmpl w:val="4DE4BC3E"/>
    <w:lvl w:ilvl="0" w:tplc="2AFC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4F486">
      <w:start w:val="1"/>
      <w:numFmt w:val="lowerLetter"/>
      <w:lvlText w:val="%2."/>
      <w:lvlJc w:val="left"/>
      <w:pPr>
        <w:ind w:left="1440" w:hanging="360"/>
      </w:pPr>
    </w:lvl>
    <w:lvl w:ilvl="2" w:tplc="81CC04FE">
      <w:start w:val="1"/>
      <w:numFmt w:val="lowerRoman"/>
      <w:lvlText w:val="%3."/>
      <w:lvlJc w:val="right"/>
      <w:pPr>
        <w:ind w:left="2160" w:hanging="180"/>
      </w:pPr>
    </w:lvl>
    <w:lvl w:ilvl="3" w:tplc="EE6E8720">
      <w:start w:val="1"/>
      <w:numFmt w:val="decimal"/>
      <w:lvlText w:val="%4."/>
      <w:lvlJc w:val="left"/>
      <w:pPr>
        <w:ind w:left="2880" w:hanging="360"/>
      </w:pPr>
    </w:lvl>
    <w:lvl w:ilvl="4" w:tplc="6FE2A56C">
      <w:start w:val="1"/>
      <w:numFmt w:val="lowerLetter"/>
      <w:lvlText w:val="%5."/>
      <w:lvlJc w:val="left"/>
      <w:pPr>
        <w:ind w:left="3600" w:hanging="360"/>
      </w:pPr>
    </w:lvl>
    <w:lvl w:ilvl="5" w:tplc="C03EB5E4">
      <w:start w:val="1"/>
      <w:numFmt w:val="lowerRoman"/>
      <w:lvlText w:val="%6."/>
      <w:lvlJc w:val="right"/>
      <w:pPr>
        <w:ind w:left="4320" w:hanging="180"/>
      </w:pPr>
    </w:lvl>
    <w:lvl w:ilvl="6" w:tplc="9F261C8A">
      <w:start w:val="1"/>
      <w:numFmt w:val="decimal"/>
      <w:lvlText w:val="%7."/>
      <w:lvlJc w:val="left"/>
      <w:pPr>
        <w:ind w:left="5040" w:hanging="360"/>
      </w:pPr>
    </w:lvl>
    <w:lvl w:ilvl="7" w:tplc="4DE26D06">
      <w:start w:val="1"/>
      <w:numFmt w:val="lowerLetter"/>
      <w:lvlText w:val="%8."/>
      <w:lvlJc w:val="left"/>
      <w:pPr>
        <w:ind w:left="5760" w:hanging="360"/>
      </w:pPr>
    </w:lvl>
    <w:lvl w:ilvl="8" w:tplc="1F0427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C0C12"/>
    <w:multiLevelType w:val="hybridMultilevel"/>
    <w:tmpl w:val="66D2FF82"/>
    <w:lvl w:ilvl="0" w:tplc="E9F8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2B4D8">
      <w:start w:val="1"/>
      <w:numFmt w:val="lowerLetter"/>
      <w:lvlText w:val="%2."/>
      <w:lvlJc w:val="left"/>
      <w:pPr>
        <w:ind w:left="1440" w:hanging="360"/>
      </w:pPr>
    </w:lvl>
    <w:lvl w:ilvl="2" w:tplc="78C48876">
      <w:start w:val="1"/>
      <w:numFmt w:val="lowerRoman"/>
      <w:lvlText w:val="%3."/>
      <w:lvlJc w:val="right"/>
      <w:pPr>
        <w:ind w:left="2160" w:hanging="180"/>
      </w:pPr>
    </w:lvl>
    <w:lvl w:ilvl="3" w:tplc="A96AB6C0">
      <w:start w:val="1"/>
      <w:numFmt w:val="decimal"/>
      <w:lvlText w:val="%4."/>
      <w:lvlJc w:val="left"/>
      <w:pPr>
        <w:ind w:left="2880" w:hanging="360"/>
      </w:pPr>
    </w:lvl>
    <w:lvl w:ilvl="4" w:tplc="5CF6CFE4">
      <w:start w:val="1"/>
      <w:numFmt w:val="lowerLetter"/>
      <w:lvlText w:val="%5."/>
      <w:lvlJc w:val="left"/>
      <w:pPr>
        <w:ind w:left="3600" w:hanging="360"/>
      </w:pPr>
    </w:lvl>
    <w:lvl w:ilvl="5" w:tplc="074E845A">
      <w:start w:val="1"/>
      <w:numFmt w:val="lowerRoman"/>
      <w:lvlText w:val="%6."/>
      <w:lvlJc w:val="right"/>
      <w:pPr>
        <w:ind w:left="4320" w:hanging="180"/>
      </w:pPr>
    </w:lvl>
    <w:lvl w:ilvl="6" w:tplc="1526CBB4">
      <w:start w:val="1"/>
      <w:numFmt w:val="decimal"/>
      <w:lvlText w:val="%7."/>
      <w:lvlJc w:val="left"/>
      <w:pPr>
        <w:ind w:left="5040" w:hanging="360"/>
      </w:pPr>
    </w:lvl>
    <w:lvl w:ilvl="7" w:tplc="358E0224">
      <w:start w:val="1"/>
      <w:numFmt w:val="lowerLetter"/>
      <w:lvlText w:val="%8."/>
      <w:lvlJc w:val="left"/>
      <w:pPr>
        <w:ind w:left="5760" w:hanging="360"/>
      </w:pPr>
    </w:lvl>
    <w:lvl w:ilvl="8" w:tplc="8A44D9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238A2"/>
    <w:multiLevelType w:val="hybridMultilevel"/>
    <w:tmpl w:val="095C5B8A"/>
    <w:lvl w:ilvl="0" w:tplc="77FA3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56"/>
    <w:multiLevelType w:val="hybridMultilevel"/>
    <w:tmpl w:val="99A00310"/>
    <w:lvl w:ilvl="0" w:tplc="CE70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4B9A">
      <w:start w:val="1"/>
      <w:numFmt w:val="lowerLetter"/>
      <w:lvlText w:val="%2."/>
      <w:lvlJc w:val="left"/>
      <w:pPr>
        <w:ind w:left="1440" w:hanging="360"/>
      </w:pPr>
    </w:lvl>
    <w:lvl w:ilvl="2" w:tplc="B78622E4">
      <w:start w:val="1"/>
      <w:numFmt w:val="lowerRoman"/>
      <w:lvlText w:val="%3."/>
      <w:lvlJc w:val="right"/>
      <w:pPr>
        <w:ind w:left="2160" w:hanging="180"/>
      </w:pPr>
    </w:lvl>
    <w:lvl w:ilvl="3" w:tplc="CA0CE002">
      <w:start w:val="1"/>
      <w:numFmt w:val="decimal"/>
      <w:lvlText w:val="%4."/>
      <w:lvlJc w:val="left"/>
      <w:pPr>
        <w:ind w:left="2880" w:hanging="360"/>
      </w:pPr>
    </w:lvl>
    <w:lvl w:ilvl="4" w:tplc="4ED0F48C">
      <w:start w:val="1"/>
      <w:numFmt w:val="lowerLetter"/>
      <w:lvlText w:val="%5."/>
      <w:lvlJc w:val="left"/>
      <w:pPr>
        <w:ind w:left="3600" w:hanging="360"/>
      </w:pPr>
    </w:lvl>
    <w:lvl w:ilvl="5" w:tplc="546C3AF6">
      <w:start w:val="1"/>
      <w:numFmt w:val="lowerRoman"/>
      <w:lvlText w:val="%6."/>
      <w:lvlJc w:val="right"/>
      <w:pPr>
        <w:ind w:left="4320" w:hanging="180"/>
      </w:pPr>
    </w:lvl>
    <w:lvl w:ilvl="6" w:tplc="61F8C798">
      <w:start w:val="1"/>
      <w:numFmt w:val="decimal"/>
      <w:lvlText w:val="%7."/>
      <w:lvlJc w:val="left"/>
      <w:pPr>
        <w:ind w:left="5040" w:hanging="360"/>
      </w:pPr>
    </w:lvl>
    <w:lvl w:ilvl="7" w:tplc="C8EA3B52">
      <w:start w:val="1"/>
      <w:numFmt w:val="lowerLetter"/>
      <w:lvlText w:val="%8."/>
      <w:lvlJc w:val="left"/>
      <w:pPr>
        <w:ind w:left="5760" w:hanging="360"/>
      </w:pPr>
    </w:lvl>
    <w:lvl w:ilvl="8" w:tplc="3334D4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81E54"/>
    <w:multiLevelType w:val="multilevel"/>
    <w:tmpl w:val="4986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31398"/>
    <w:multiLevelType w:val="hybridMultilevel"/>
    <w:tmpl w:val="4EF4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16"/>
    <w:rsid w:val="00060816"/>
    <w:rsid w:val="00206B51"/>
    <w:rsid w:val="0041052F"/>
    <w:rsid w:val="00445EA9"/>
    <w:rsid w:val="00C214A5"/>
    <w:rsid w:val="00C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0E6"/>
  <w15:docId w15:val="{3E1AAEA9-DF9C-402F-8168-CBB76F2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5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link w:val="ab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ВерхКолонтитул Знак"/>
    <w:basedOn w:val="a0"/>
    <w:link w:val="aa"/>
    <w:uiPriority w:val="99"/>
    <w:qFormat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qFormat/>
    <w:rsid w:val="00CA095E"/>
    <w:pPr>
      <w:suppressAutoHyphens/>
      <w:spacing w:before="280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Основной"/>
    <w:qFormat/>
    <w:rsid w:val="00CA09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novation.72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Ухалова Светлана Александровна</cp:lastModifiedBy>
  <cp:revision>3</cp:revision>
  <dcterms:created xsi:type="dcterms:W3CDTF">2024-02-20T16:16:00Z</dcterms:created>
  <dcterms:modified xsi:type="dcterms:W3CDTF">2024-02-20T16:17:00Z</dcterms:modified>
</cp:coreProperties>
</file>